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 w:lineRule="auto"/>
        <w:ind w:left="2160" w:right="3083" w:firstLine="720"/>
        <w:jc w:val="center"/>
        <w:rPr>
          <w:rFonts w:ascii="Arial" w:cs="Arial" w:eastAsia="Arial" w:hAnsi="Arial"/>
          <w:b w:val="1"/>
          <w:color w:val="0000ff"/>
          <w:sz w:val="21"/>
          <w:szCs w:val="21"/>
          <w:highlight w:val="yellow"/>
          <w:u w:val="single"/>
        </w:rPr>
      </w:pPr>
      <w:hyperlink r:id="rId7">
        <w:r w:rsidDel="00000000" w:rsidR="00000000" w:rsidRPr="00000000">
          <w:rPr>
            <w:rFonts w:ascii="Arial" w:cs="Arial" w:eastAsia="Arial" w:hAnsi="Arial"/>
            <w:b w:val="1"/>
            <w:color w:val="0563c1"/>
            <w:sz w:val="21"/>
            <w:szCs w:val="21"/>
            <w:highlight w:val="yellow"/>
            <w:u w:val="single"/>
            <w:rtl w:val="0"/>
          </w:rPr>
          <w:t xml:space="preserve">https://calegislation.lc.ca.gov/Advocates/</w:t>
        </w:r>
      </w:hyperlink>
      <w:r w:rsidDel="00000000" w:rsidR="00000000" w:rsidRPr="00000000">
        <w:rPr>
          <w:rtl w:val="0"/>
        </w:rPr>
      </w:r>
    </w:p>
    <w:p w:rsidR="00000000" w:rsidDel="00000000" w:rsidP="00000000" w:rsidRDefault="00000000" w:rsidRPr="00000000" w14:paraId="00000002">
      <w:pPr>
        <w:spacing w:before="20" w:lineRule="auto"/>
        <w:ind w:left="2160" w:right="3083" w:firstLine="0"/>
        <w:rPr>
          <w:rFonts w:ascii="Arial" w:cs="Arial" w:eastAsia="Arial" w:hAnsi="Arial"/>
          <w:b w:val="1"/>
          <w:color w:val="0000ff"/>
          <w:sz w:val="21"/>
          <w:szCs w:val="21"/>
          <w:highlight w:val="yellow"/>
          <w:u w:val="singl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0" w:right="0" w:firstLine="0"/>
        <w:jc w:val="left"/>
        <w:rPr>
          <w:rFonts w:ascii="Arial" w:cs="Arial" w:eastAsia="Arial" w:hAnsi="Arial"/>
          <w:b w:val="0"/>
          <w:i w:val="0"/>
          <w:smallCaps w:val="0"/>
          <w:strike w:val="0"/>
          <w:color w:val="000000"/>
          <w:sz w:val="21"/>
          <w:szCs w:val="21"/>
          <w:highlight w:val="yellow"/>
          <w:u w:val="none"/>
          <w:vertAlign w:val="baseline"/>
        </w:rPr>
      </w:pPr>
      <w:r w:rsidDel="00000000" w:rsidR="00000000" w:rsidRPr="00000000">
        <w:rPr>
          <w:rFonts w:ascii="Arial" w:cs="Arial" w:eastAsia="Arial" w:hAnsi="Arial"/>
          <w:b w:val="0"/>
          <w:i w:val="0"/>
          <w:smallCaps w:val="0"/>
          <w:strike w:val="0"/>
          <w:color w:val="000000"/>
          <w:sz w:val="21"/>
          <w:szCs w:val="21"/>
          <w:highlight w:val="yellow"/>
          <w:u w:val="none"/>
          <w:vertAlign w:val="baseline"/>
          <w:rtl w:val="0"/>
        </w:rPr>
        <w:t xml:space="preserve">[DATE]</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0" w:right="0" w:firstLine="0"/>
        <w:jc w:val="left"/>
        <w:rPr>
          <w:rFonts w:ascii="Arial" w:cs="Arial" w:eastAsia="Arial" w:hAnsi="Arial"/>
          <w:sz w:val="21"/>
          <w:szCs w:val="21"/>
          <w:highlight w:val="yellow"/>
        </w:rPr>
      </w:pPr>
      <w:r w:rsidDel="00000000" w:rsidR="00000000" w:rsidRPr="00000000">
        <w:rPr>
          <w:rtl w:val="0"/>
        </w:rPr>
      </w:r>
    </w:p>
    <w:p w:rsidR="00000000" w:rsidDel="00000000" w:rsidP="00000000" w:rsidRDefault="00000000" w:rsidRPr="00000000" w14:paraId="0000000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sz w:val="21"/>
          <w:szCs w:val="21"/>
          <w:rtl w:val="0"/>
        </w:rPr>
        <w:t xml:space="preserve">The Honorable Chris Holden, Chair</w:t>
      </w:r>
    </w:p>
    <w:p w:rsidR="00000000" w:rsidDel="00000000" w:rsidP="00000000" w:rsidRDefault="00000000" w:rsidRPr="00000000" w14:paraId="00000006">
      <w:pPr>
        <w:rPr>
          <w:rFonts w:ascii="Arial" w:cs="Arial" w:eastAsia="Arial" w:hAnsi="Arial"/>
          <w:sz w:val="21"/>
          <w:szCs w:val="21"/>
        </w:rPr>
      </w:pPr>
      <w:r w:rsidDel="00000000" w:rsidR="00000000" w:rsidRPr="00000000">
        <w:rPr>
          <w:rFonts w:ascii="Arial" w:cs="Arial" w:eastAsia="Arial" w:hAnsi="Arial"/>
          <w:sz w:val="21"/>
          <w:szCs w:val="21"/>
          <w:rtl w:val="0"/>
        </w:rPr>
        <w:t xml:space="preserve">        Assembly Committee on Appropriations</w:t>
      </w:r>
    </w:p>
    <w:p w:rsidR="00000000" w:rsidDel="00000000" w:rsidP="00000000" w:rsidRDefault="00000000" w:rsidRPr="00000000" w14:paraId="00000007">
      <w:pPr>
        <w:rPr>
          <w:rFonts w:ascii="Arial" w:cs="Arial" w:eastAsia="Arial" w:hAnsi="Arial"/>
          <w:sz w:val="21"/>
          <w:szCs w:val="21"/>
        </w:rPr>
      </w:pPr>
      <w:r w:rsidDel="00000000" w:rsidR="00000000" w:rsidRPr="00000000">
        <w:rPr>
          <w:rFonts w:ascii="Arial" w:cs="Arial" w:eastAsia="Arial" w:hAnsi="Arial"/>
          <w:sz w:val="21"/>
          <w:szCs w:val="21"/>
          <w:rtl w:val="0"/>
        </w:rPr>
        <w:t xml:space="preserve">        1021 O Street, Suite 8220</w:t>
      </w:r>
    </w:p>
    <w:p w:rsidR="00000000" w:rsidDel="00000000" w:rsidP="00000000" w:rsidRDefault="00000000" w:rsidRPr="00000000" w14:paraId="00000008">
      <w:pPr>
        <w:rPr>
          <w:rFonts w:ascii="Arial" w:cs="Arial" w:eastAsia="Arial" w:hAnsi="Arial"/>
          <w:sz w:val="21"/>
          <w:szCs w:val="21"/>
        </w:rPr>
      </w:pPr>
      <w:r w:rsidDel="00000000" w:rsidR="00000000" w:rsidRPr="00000000">
        <w:rPr>
          <w:rFonts w:ascii="Arial" w:cs="Arial" w:eastAsia="Arial" w:hAnsi="Arial"/>
          <w:sz w:val="21"/>
          <w:szCs w:val="21"/>
          <w:rtl w:val="0"/>
        </w:rPr>
        <w:t xml:space="preserve">        Sacramento, CA 95814</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2880"/>
        </w:tabs>
        <w:spacing w:after="0" w:before="0" w:line="240" w:lineRule="auto"/>
        <w:ind w:left="460" w:right="616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A">
      <w:pPr>
        <w:pStyle w:val="Heading4"/>
        <w:spacing w:before="140" w:lineRule="auto"/>
        <w:ind w:left="460" w:firstLine="0"/>
        <w:rPr/>
      </w:pPr>
      <w:r w:rsidDel="00000000" w:rsidR="00000000" w:rsidRPr="00000000">
        <w:rPr>
          <w:rtl w:val="0"/>
        </w:rPr>
        <w:t xml:space="preserve">RE: SUPPORT: SB 873 – Making Rebates Make Sense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Dear </w:t>
      </w:r>
      <w:r w:rsidDel="00000000" w:rsidR="00000000" w:rsidRPr="00000000">
        <w:rPr>
          <w:rFonts w:ascii="Arial" w:cs="Arial" w:eastAsia="Arial" w:hAnsi="Arial"/>
          <w:sz w:val="21"/>
          <w:szCs w:val="21"/>
          <w:rtl w:val="0"/>
        </w:rPr>
        <w:t xml:space="preserve">Chair</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sz w:val="21"/>
          <w:szCs w:val="21"/>
          <w:rtl w:val="0"/>
        </w:rPr>
        <w:t xml:space="preserve">Holden</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40" w:lineRule="auto"/>
        <w:ind w:left="460" w:right="598"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On behalf of </w:t>
      </w:r>
      <w:r w:rsidDel="00000000" w:rsidR="00000000" w:rsidRPr="00000000">
        <w:rPr>
          <w:rFonts w:ascii="Arial" w:cs="Arial" w:eastAsia="Arial" w:hAnsi="Arial"/>
          <w:b w:val="0"/>
          <w:i w:val="0"/>
          <w:smallCaps w:val="0"/>
          <w:strike w:val="0"/>
          <w:color w:val="000000"/>
          <w:sz w:val="21"/>
          <w:szCs w:val="21"/>
          <w:highlight w:val="yellow"/>
          <w:u w:val="none"/>
          <w:vertAlign w:val="baseline"/>
          <w:rtl w:val="0"/>
        </w:rPr>
        <w:t xml:space="preserve">XX</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I am writing to express our strong support for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SB 873, Making Rebates Make Sense,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much-needed bill that will lower patients’ out-of-pocket costs for prescription drugs. As an organization working daily to improve health care access for patients throughout the state, we believe that SB 873 by Senator Steven Bradford can immediately help Californians afford their medications and improve health outcomes by requiring health insurance companies and their Pharmacy Benefit Managers (PBMs) to pass along at least 90% of negotiated rebates to patients at the pharmacy counter.</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60" w:right="512"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Pharmacy middlemen, or PBMs, determine the formulary of drugs covered by health insurers. Pharmaceutical manufacturers pay rebates to insurers and their PBMs – 40% of the medicine’s list price on average. PBMs are then supposed to pass savings on to patients, but </w:t>
      </w:r>
      <w:hyperlink r:id="rId8">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research by the</w:t>
        </w:r>
      </w:hyperlink>
      <w:r w:rsidDel="00000000" w:rsidR="00000000" w:rsidRPr="00000000">
        <w:rPr>
          <w:rFonts w:ascii="Arial" w:cs="Arial" w:eastAsia="Arial" w:hAnsi="Arial"/>
          <w:b w:val="0"/>
          <w:i w:val="0"/>
          <w:smallCaps w:val="0"/>
          <w:strike w:val="0"/>
          <w:color w:val="0000ff"/>
          <w:sz w:val="21"/>
          <w:szCs w:val="21"/>
          <w:u w:val="none"/>
          <w:shd w:fill="auto" w:val="clear"/>
          <w:vertAlign w:val="baseline"/>
          <w:rtl w:val="0"/>
        </w:rPr>
        <w:t xml:space="preserve"> </w:t>
      </w:r>
      <w:hyperlink r:id="rId9">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Office of the Inspector General shows that’s not happening</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According to the report, “The large rebates offered by manufacturers… benefit plan sponsors but provide little relief to beneficiaries who received the drugs.”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0" w:right="58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Although rebates were never intended to flow to PBMs, in 2021, these </w:t>
      </w:r>
      <w:hyperlink r:id="rId10">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rebates totaled $1.7 billion</w:t>
        </w:r>
      </w:hyperlink>
      <w:hyperlink r:id="rId11">
        <w:r w:rsidDel="00000000" w:rsidR="00000000" w:rsidRPr="00000000">
          <w:rPr>
            <w:rFonts w:ascii="Arial" w:cs="Arial" w:eastAsia="Arial" w:hAnsi="Arial"/>
            <w:b w:val="0"/>
            <w:i w:val="0"/>
            <w:smallCaps w:val="0"/>
            <w:strike w:val="0"/>
            <w:color w:val="0000ff"/>
            <w:sz w:val="21"/>
            <w:szCs w:val="21"/>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in California alone, up from $1.4 billion in 2020 and $1.2 billion in 2019.</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0" w:right="54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current, broken rebate system only benefits PBMs and insurers and does nothing to benefit patients. In fact, patients often end up paying more for the prescription than the PBM and insurer even paid for it. Due to high costs at the pharmacy counter, thousands of Californians struggle to have their prescription medications filled to treat acute or chronic conditions. Lawmakers must stand with patients and shed light on the fraudulent practices that leave so many struggling to afford and maintain their medications.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0" w:right="481"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Sharing rebates with patients at the point-of-sale will not only reduce out-of-pocket costs for patients, but it will also improve medication adherence rates – as demonstrated by</w:t>
      </w:r>
      <w:hyperlink r:id="rId12">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 UnitedHealth’s OptumRx</w:t>
        </w:r>
      </w:hyperlink>
      <w:r w:rsidDel="00000000" w:rsidR="00000000" w:rsidRPr="00000000">
        <w:rPr>
          <w:rFonts w:ascii="Arial" w:cs="Arial" w:eastAsia="Arial" w:hAnsi="Arial"/>
          <w:b w:val="0"/>
          <w:i w:val="0"/>
          <w:smallCaps w:val="0"/>
          <w:strike w:val="0"/>
          <w:color w:val="0000ff"/>
          <w:sz w:val="21"/>
          <w:szCs w:val="21"/>
          <w:u w:val="none"/>
          <w:shd w:fill="auto" w:val="clear"/>
          <w:vertAlign w:val="baseline"/>
          <w:rtl w:val="0"/>
        </w:rPr>
        <w:t xml:space="preserve"> </w:t>
      </w:r>
      <w:hyperlink r:id="rId13">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practice</w:t>
        </w:r>
      </w:hyperlink>
      <w:hyperlink r:id="rId14">
        <w:r w:rsidDel="00000000" w:rsidR="00000000" w:rsidRPr="00000000">
          <w:rPr>
            <w:rFonts w:ascii="Arial" w:cs="Arial" w:eastAsia="Arial" w:hAnsi="Arial"/>
            <w:b w:val="0"/>
            <w:i w:val="0"/>
            <w:smallCaps w:val="0"/>
            <w:strike w:val="0"/>
            <w:color w:val="0000ff"/>
            <w:sz w:val="21"/>
            <w:szCs w:val="21"/>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of sharing rebates at the pharmacy counter, which enabled patients to save an average of</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$130 per eligible prescription and improved adherence rates between 4-16%.</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0" w:right="609"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SB 873 should be approved immediately by the State Legislature and signed by Governor Newsom to provide immediate relief for vulnerable Californians and reform a fraudulent system that only benefits health care entities rather than patients.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Sincerely,</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59" w:lineRule="auto"/>
        <w:ind w:left="460" w:right="38" w:firstLine="0"/>
        <w:jc w:val="both"/>
        <w:rPr>
          <w:rFonts w:ascii="Arial" w:cs="Arial" w:eastAsia="Arial" w:hAnsi="Arial"/>
          <w:b w:val="0"/>
          <w:i w:val="0"/>
          <w:smallCaps w:val="0"/>
          <w:strike w:val="0"/>
          <w:color w:val="000000"/>
          <w:sz w:val="21"/>
          <w:szCs w:val="21"/>
          <w:highlight w:val="yellow"/>
          <w:u w:val="none"/>
          <w:vertAlign w:val="baseline"/>
        </w:rPr>
      </w:pPr>
      <w:r w:rsidDel="00000000" w:rsidR="00000000" w:rsidRPr="00000000">
        <w:rPr>
          <w:rFonts w:ascii="Arial" w:cs="Arial" w:eastAsia="Arial" w:hAnsi="Arial"/>
          <w:b w:val="0"/>
          <w:i w:val="0"/>
          <w:smallCaps w:val="0"/>
          <w:strike w:val="0"/>
          <w:color w:val="000000"/>
          <w:sz w:val="21"/>
          <w:szCs w:val="21"/>
          <w:highlight w:val="yellow"/>
          <w:u w:val="none"/>
          <w:vertAlign w:val="baseline"/>
          <w:rtl w:val="0"/>
        </w:rPr>
        <w:t xml:space="preserve">NAME</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59" w:lineRule="auto"/>
        <w:ind w:left="460" w:right="38"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highlight w:val="yellow"/>
          <w:u w:val="none"/>
          <w:vertAlign w:val="baseline"/>
          <w:rtl w:val="0"/>
        </w:rPr>
        <w:t xml:space="preserve">TITLE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59" w:lineRule="auto"/>
        <w:ind w:left="460" w:right="38" w:firstLine="0"/>
        <w:jc w:val="both"/>
        <w:rPr>
          <w:rFonts w:ascii="Arial" w:cs="Arial" w:eastAsia="Arial" w:hAnsi="Arial"/>
          <w:b w:val="0"/>
          <w:i w:val="0"/>
          <w:smallCaps w:val="0"/>
          <w:strike w:val="0"/>
          <w:color w:val="000000"/>
          <w:sz w:val="21"/>
          <w:szCs w:val="21"/>
          <w:highlight w:val="yellow"/>
          <w:u w:val="none"/>
          <w:vertAlign w:val="baseline"/>
        </w:rPr>
      </w:pPr>
      <w:r w:rsidDel="00000000" w:rsidR="00000000" w:rsidRPr="00000000">
        <w:rPr>
          <w:rFonts w:ascii="Arial" w:cs="Arial" w:eastAsia="Arial" w:hAnsi="Arial"/>
          <w:b w:val="0"/>
          <w:i w:val="0"/>
          <w:smallCaps w:val="0"/>
          <w:strike w:val="0"/>
          <w:color w:val="000000"/>
          <w:sz w:val="21"/>
          <w:szCs w:val="21"/>
          <w:highlight w:val="yellow"/>
          <w:u w:val="none"/>
          <w:vertAlign w:val="baseline"/>
          <w:rtl w:val="0"/>
        </w:rPr>
        <w:t xml:space="preserve">ORG</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91"/>
        </w:tabs>
        <w:spacing w:after="0" w:before="0" w:line="240" w:lineRule="auto"/>
        <w:ind w:left="46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ab/>
        <w:tab/>
        <w:tab/>
        <w:t xml:space="preserve">CC:</w:t>
        <w:tab/>
        <w:t xml:space="preserve">Senator Steven Bradford</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2531" w:right="0" w:firstLine="349.00000000000006"/>
        <w:jc w:val="left"/>
        <w:rPr>
          <w:rFonts w:ascii="Arial" w:cs="Arial" w:eastAsia="Arial" w:hAnsi="Arial"/>
          <w:b w:val="0"/>
          <w:i w:val="0"/>
          <w:smallCaps w:val="0"/>
          <w:strike w:val="0"/>
          <w:color w:val="000000"/>
          <w:sz w:val="21"/>
          <w:szCs w:val="21"/>
          <w:u w:val="none"/>
          <w:shd w:fill="auto" w:val="clear"/>
          <w:vertAlign w:val="baseline"/>
        </w:rPr>
        <w:sectPr>
          <w:headerReference r:id="rId15" w:type="default"/>
          <w:footerReference r:id="rId16" w:type="even"/>
          <w:pgSz w:h="15840" w:w="12240" w:orient="portrait"/>
          <w:pgMar w:bottom="280" w:top="960" w:left="980" w:right="960" w:header="726" w:footer="0"/>
          <w:pgNumType w:start="1"/>
        </w:sect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Members, Assembly Committee on </w:t>
      </w:r>
      <w:r w:rsidDel="00000000" w:rsidR="00000000" w:rsidRPr="00000000">
        <w:rPr>
          <w:rFonts w:ascii="Arial" w:cs="Arial" w:eastAsia="Arial" w:hAnsi="Arial"/>
          <w:sz w:val="21"/>
          <w:szCs w:val="21"/>
          <w:rtl w:val="0"/>
        </w:rPr>
        <w:t xml:space="preserve">Appropriations</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headerReference r:id="rId17" w:type="default"/>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spacing w:before="14" w:lineRule="auto"/>
      <w:ind w:left="20" w:firstLine="0"/>
      <w:jc w:val="center"/>
      <w:rPr>
        <w:rFonts w:ascii="Arial" w:cs="Arial" w:eastAsia="Arial" w:hAnsi="Arial"/>
        <w:b w:val="1"/>
        <w:sz w:val="21"/>
        <w:szCs w:val="21"/>
      </w:rPr>
    </w:pPr>
    <w:r w:rsidDel="00000000" w:rsidR="00000000" w:rsidRPr="00000000">
      <w:rPr>
        <w:rFonts w:ascii="Arial" w:cs="Arial" w:eastAsia="Arial" w:hAnsi="Arial"/>
        <w:b w:val="1"/>
        <w:sz w:val="21"/>
        <w:szCs w:val="21"/>
        <w:highlight w:val="yellow"/>
        <w:rtl w:val="0"/>
      </w:rPr>
      <w:t xml:space="preserve">ALL LETTERS MUST BE SUBMITTED THROUGH PORTAL</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spacing w:before="14" w:lineRule="auto"/>
      <w:ind w:left="20" w:firstLine="0"/>
      <w:jc w:val="center"/>
      <w:rPr>
        <w:rFonts w:ascii="Arial" w:cs="Arial" w:eastAsia="Arial" w:hAnsi="Arial"/>
        <w:b w:val="1"/>
        <w:sz w:val="21"/>
        <w:szCs w:val="2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before="14" w:lineRule="auto"/>
      <w:ind w:left="20"/>
    </w:pPr>
    <w:rPr>
      <w:rFonts w:ascii="Arial" w:cs="Arial" w:eastAsia="Arial" w:hAnsi="Arial"/>
      <w:b w:val="1"/>
      <w:sz w:val="21"/>
      <w:szCs w:val="2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B5AF7"/>
    <w:pPr>
      <w:widowControl w:val="0"/>
      <w:autoSpaceDE w:val="0"/>
      <w:autoSpaceDN w:val="0"/>
      <w:spacing w:after="0" w:line="240" w:lineRule="auto"/>
    </w:pPr>
    <w:rPr>
      <w:rFonts w:ascii="Calibri" w:cs="Calibri" w:eastAsia="Calibri" w:hAnsi="Calibri"/>
      <w:kern w:val="0"/>
      <w:lang w:bidi="en-US"/>
    </w:rPr>
  </w:style>
  <w:style w:type="paragraph" w:styleId="Heading4">
    <w:name w:val="heading 4"/>
    <w:basedOn w:val="Normal"/>
    <w:link w:val="Heading4Char"/>
    <w:uiPriority w:val="9"/>
    <w:unhideWhenUsed w:val="1"/>
    <w:qFormat w:val="1"/>
    <w:rsid w:val="006B5AF7"/>
    <w:pPr>
      <w:spacing w:before="14"/>
      <w:ind w:left="20"/>
      <w:outlineLvl w:val="3"/>
    </w:pPr>
    <w:rPr>
      <w:rFonts w:ascii="Arial" w:cs="Arial" w:eastAsia="Arial" w:hAnsi="Arial"/>
      <w:b w:val="1"/>
      <w:bCs w:val="1"/>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B5AF7"/>
    <w:pPr>
      <w:widowControl w:val="1"/>
      <w:tabs>
        <w:tab w:val="center" w:pos="4680"/>
        <w:tab w:val="right" w:pos="9360"/>
      </w:tabs>
      <w:autoSpaceDE w:val="1"/>
      <w:autoSpaceDN w:val="1"/>
    </w:pPr>
    <w:rPr>
      <w:rFonts w:asciiTheme="minorHAnsi" w:cstheme="minorBidi" w:eastAsiaTheme="minorHAnsi" w:hAnsiTheme="minorHAnsi"/>
      <w:kern w:val="2"/>
      <w:lang w:bidi="ar-SA"/>
    </w:rPr>
  </w:style>
  <w:style w:type="character" w:styleId="HeaderChar" w:customStyle="1">
    <w:name w:val="Header Char"/>
    <w:basedOn w:val="DefaultParagraphFont"/>
    <w:link w:val="Header"/>
    <w:uiPriority w:val="99"/>
    <w:rsid w:val="006B5AF7"/>
  </w:style>
  <w:style w:type="paragraph" w:styleId="Footer">
    <w:name w:val="footer"/>
    <w:basedOn w:val="Normal"/>
    <w:link w:val="FooterChar"/>
    <w:uiPriority w:val="99"/>
    <w:unhideWhenUsed w:val="1"/>
    <w:rsid w:val="006B5AF7"/>
    <w:pPr>
      <w:widowControl w:val="1"/>
      <w:tabs>
        <w:tab w:val="center" w:pos="4680"/>
        <w:tab w:val="right" w:pos="9360"/>
      </w:tabs>
      <w:autoSpaceDE w:val="1"/>
      <w:autoSpaceDN w:val="1"/>
    </w:pPr>
    <w:rPr>
      <w:rFonts w:asciiTheme="minorHAnsi" w:cstheme="minorBidi" w:eastAsiaTheme="minorHAnsi" w:hAnsiTheme="minorHAnsi"/>
      <w:kern w:val="2"/>
      <w:lang w:bidi="ar-SA"/>
    </w:rPr>
  </w:style>
  <w:style w:type="character" w:styleId="FooterChar" w:customStyle="1">
    <w:name w:val="Footer Char"/>
    <w:basedOn w:val="DefaultParagraphFont"/>
    <w:link w:val="Footer"/>
    <w:uiPriority w:val="99"/>
    <w:rsid w:val="006B5AF7"/>
  </w:style>
  <w:style w:type="character" w:styleId="Hyperlink">
    <w:name w:val="Hyperlink"/>
    <w:basedOn w:val="DefaultParagraphFont"/>
    <w:uiPriority w:val="99"/>
    <w:unhideWhenUsed w:val="1"/>
    <w:rsid w:val="006B5AF7"/>
    <w:rPr>
      <w:color w:val="0563c1" w:themeColor="hyperlink"/>
      <w:u w:val="single"/>
    </w:rPr>
  </w:style>
  <w:style w:type="character" w:styleId="UnresolvedMention">
    <w:name w:val="Unresolved Mention"/>
    <w:basedOn w:val="DefaultParagraphFont"/>
    <w:uiPriority w:val="99"/>
    <w:semiHidden w:val="1"/>
    <w:unhideWhenUsed w:val="1"/>
    <w:rsid w:val="006B5AF7"/>
    <w:rPr>
      <w:color w:val="605e5c"/>
      <w:shd w:color="auto" w:fill="e1dfdd" w:val="clear"/>
    </w:rPr>
  </w:style>
  <w:style w:type="character" w:styleId="Heading4Char" w:customStyle="1">
    <w:name w:val="Heading 4 Char"/>
    <w:basedOn w:val="DefaultParagraphFont"/>
    <w:link w:val="Heading4"/>
    <w:uiPriority w:val="9"/>
    <w:rsid w:val="006B5AF7"/>
    <w:rPr>
      <w:rFonts w:ascii="Arial" w:cs="Arial" w:eastAsia="Arial" w:hAnsi="Arial"/>
      <w:b w:val="1"/>
      <w:bCs w:val="1"/>
      <w:kern w:val="0"/>
      <w:sz w:val="21"/>
      <w:szCs w:val="21"/>
      <w:lang w:bidi="en-US"/>
    </w:rPr>
  </w:style>
  <w:style w:type="paragraph" w:styleId="BodyText">
    <w:name w:val="Body Text"/>
    <w:basedOn w:val="Normal"/>
    <w:link w:val="BodyTextChar"/>
    <w:uiPriority w:val="1"/>
    <w:qFormat w:val="1"/>
    <w:rsid w:val="006B5AF7"/>
    <w:rPr>
      <w:rFonts w:ascii="Arial" w:cs="Arial" w:eastAsia="Arial" w:hAnsi="Arial"/>
      <w:sz w:val="21"/>
      <w:szCs w:val="21"/>
    </w:rPr>
  </w:style>
  <w:style w:type="character" w:styleId="BodyTextChar" w:customStyle="1">
    <w:name w:val="Body Text Char"/>
    <w:basedOn w:val="DefaultParagraphFont"/>
    <w:link w:val="BodyText"/>
    <w:uiPriority w:val="1"/>
    <w:rsid w:val="006B5AF7"/>
    <w:rPr>
      <w:rFonts w:ascii="Arial" w:cs="Arial" w:eastAsia="Arial" w:hAnsi="Arial"/>
      <w:kern w:val="0"/>
      <w:sz w:val="21"/>
      <w:szCs w:val="21"/>
      <w:lang w:bidi="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dmhc.ca.gov/Portals/0/Docs/DO/SB172021Report.pdf" TargetMode="External"/><Relationship Id="rId10" Type="http://schemas.openxmlformats.org/officeDocument/2006/relationships/hyperlink" Target="https://www.dmhc.ca.gov/Portals/0/Docs/DO/SB172021Report.pdf" TargetMode="External"/><Relationship Id="rId13" Type="http://schemas.openxmlformats.org/officeDocument/2006/relationships/hyperlink" Target="https://www.unitedhealthgroup.com/newsroom/2019/2019-03-12-prescription-drug-program-expands-to-benefit-consumers-point-of-sale.html" TargetMode="External"/><Relationship Id="rId12" Type="http://schemas.openxmlformats.org/officeDocument/2006/relationships/hyperlink" Target="https://www.unitedhealthgroup.com/newsroom/2019/2019-03-12-prescription-drug-program-expands-to-benefit-consumers-point-of-sale.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ig.hhs.gov/oei/reports/OEI-BL-21-00200.asp" TargetMode="External"/><Relationship Id="rId15" Type="http://schemas.openxmlformats.org/officeDocument/2006/relationships/header" Target="header1.xml"/><Relationship Id="rId14" Type="http://schemas.openxmlformats.org/officeDocument/2006/relationships/hyperlink" Target="https://www.unitedhealthgroup.com/newsroom/2019/2019-03-12-prescription-drug-program-expands-to-benefit-consumers-point-of-sale.html" TargetMode="External"/><Relationship Id="rId17" Type="http://schemas.openxmlformats.org/officeDocument/2006/relationships/header" Target="head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alegislation.lc.ca.gov/Advocates/" TargetMode="External"/><Relationship Id="rId8" Type="http://schemas.openxmlformats.org/officeDocument/2006/relationships/hyperlink" Target="https://oig.hhs.gov/oei/reports/OEI-BL-21-00200.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VBvWbC+at1hNOTa21uPQsnf5zQ==">CgMxLjA4AHIhMXc2N1A5NmRDeXhaeVNjbDNHVmpSWElQcDRXYUVVVEJO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2023-06-12T19:00:00Z</dcterms:created>
  <dc:creator>Melissa Santos-Martinez</dc:creator>
</cp:coreProperties>
</file>